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bmp" ContentType="image/bmp"/>
  <Default Extension="emf" ContentType="image/x-emf"/>
  <Default Extension="wmf" ContentType="image/x-wmf"/>
  <Default Extension="gif" ContentType="image/gif"/>
  <Default Extension="ico" ContentType="image/x-icon"/>
  <Default Extension="tif" ContentType="image/tiff"/>
  <Default Extension="tiff" ContentType="image/tiff"/>
  <Default Extension="jpeg" ContentType="image/jpeg"/>
  <Default Extension="jpg" ContentType="image/jpeg"/>
  <Default Extension="svg" ContentType="image/svg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0" w:rightFromText="180" w:vertAnchor="text" w:horzAnchor="margin" w:tblpX="-142" w:tblpY="1209"/>
        <w:tblW w:w="921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6521"/>
        <w:gridCol w:w="2693"/>
      </w:tblGrid>
      <w:tr>
        <w:trPr/>
        <w:tc>
          <w:tcPr>
            <w:tcW w:type="dxa" w:w="6521"/>
            <w:tcBorders/>
          </w:tcPr>
          <w:p>
            <w:pPr>
              <w:spacing w:after="160" w:line="259" w:lineRule="auto"/>
              <w:ind w:left="0" w:firstLine="0"/>
              <w:rPr>
                <w:rFonts w:ascii="Times New Roman" w:hAnsi="Times New Roman" w:eastAsiaTheme="minorHAnsi" w:cs="Times New Roman"/>
                <w:color w:val="auto"/>
                <w:sz w:val="22"/>
                <w:lang w:eastAsia="en-US"/>
              </w:rPr>
            </w:pPr>
            <w:bookmarkStart w:id="2" w:name="_Hlk128748807"/>
            <w:r>
              <w:rPr>
                <w:rFonts w:ascii="Times New Roman" w:hAnsi="Times New Roman" w:eastAsiaTheme="minorHAnsi" w:cs="Times New Roman"/>
                <w:b/>
                <w:bCs/>
                <w:color w:val="auto"/>
                <w:sz w:val="22"/>
                <w:lang w:eastAsia="en-US"/>
              </w:rPr>
              <w:t xml:space="preserve">OSNOVNA ŠKOLA „DOBRI“ SPLIT                                                                                                    </w:t>
            </w:r>
            <w:r>
              <w:rPr>
                <w:rFonts w:ascii="Times New Roman" w:hAnsi="Times New Roman" w:eastAsiaTheme="minorHAnsi" w:cs="Times New Roman"/>
                <w:color w:val="auto"/>
                <w:sz w:val="22"/>
                <w:lang w:eastAsia="en-US"/>
              </w:rPr>
              <w:t xml:space="preserve">Kliška</w:t>
            </w:r>
            <w:r>
              <w:rPr>
                <w:rFonts w:ascii="Times New Roman" w:hAnsi="Times New Roman" w:eastAsiaTheme="minorHAnsi" w:cs="Times New Roman"/>
                <w:color w:val="auto"/>
                <w:sz w:val="22"/>
                <w:lang w:eastAsia="en-US"/>
              </w:rPr>
              <w:t xml:space="preserve"> 25, 21000 Split</w:t>
            </w:r>
            <w:r>
              <w:rPr>
                <w:rFonts w:ascii="Times New Roman" w:hAnsi="Times New Roman" w:eastAsiaTheme="minorHAnsi" w:cs="Times New Roman"/>
                <w:color w:val="auto"/>
                <w:sz w:val="22"/>
                <w:lang w:eastAsia="en-US"/>
              </w:rPr>
              <w:t xml:space="preserve">                                                                                                      </w:t>
            </w:r>
            <w:r>
              <w:rPr>
                <w:rFonts w:ascii="Times New Roman" w:hAnsi="Times New Roman" w:eastAsiaTheme="minorHAnsi" w:cs="Times New Roman"/>
                <w:color w:val="auto"/>
                <w:sz w:val="22"/>
                <w:lang w:eastAsia="en-US"/>
              </w:rPr>
              <w:t xml:space="preserve">KLASA: </w:t>
            </w:r>
            <w:r>
              <w:rPr>
                <w:rFonts w:ascii="Times New Roman" w:hAnsi="Times New Roman" w:cs="Times New Roman"/>
                <w:noProof/>
              </w:rPr>
              <w:t xml:space="preserve">112-04/26-01/11</w:t>
            </w:r>
            <w:r>
              <w:rPr>
                <w:rFonts w:ascii="Times New Roman" w:hAnsi="Times New Roman" w:eastAsiaTheme="minorHAnsi" w:cs="Times New Roman"/>
                <w:color w:val="auto"/>
                <w:sz w:val="22"/>
                <w:lang w:eastAsia="en-US"/>
              </w:rPr>
              <w:t xml:space="preserve">                                                                                                                    </w:t>
            </w:r>
            <w:r>
              <w:rPr>
                <w:rFonts w:ascii="Times New Roman" w:hAnsi="Times New Roman" w:eastAsiaTheme="minorHAnsi" w:cs="Times New Roman"/>
                <w:color w:val="auto"/>
                <w:sz w:val="22"/>
                <w:lang w:eastAsia="en-US"/>
              </w:rPr>
              <w:t xml:space="preserve">                    URBROJ: </w:t>
            </w:r>
            <w:r>
              <w:rPr>
                <w:rFonts w:ascii="Times New Roman" w:hAnsi="Times New Roman" w:eastAsiaTheme="minorHAnsi" w:cs="Times New Roman"/>
                <w:noProof/>
                <w:color w:val="auto"/>
                <w:sz w:val="22"/>
                <w:lang w:eastAsia="en-US"/>
              </w:rPr>
              <w:t xml:space="preserve">2181-1-280-26-10</w:t>
            </w:r>
            <w:r>
              <w:rPr>
                <w:rFonts w:ascii="Times New Roman" w:hAnsi="Times New Roman" w:eastAsiaTheme="minorHAnsi" w:cs="Times New Roman"/>
                <w:color w:val="auto"/>
                <w:sz w:val="22"/>
                <w:lang w:eastAsia="en-US"/>
              </w:rPr>
              <w:t xml:space="preserve">                                                                                                          </w:t>
            </w:r>
            <w:r>
              <w:rPr>
                <w:rFonts w:ascii="Times New Roman" w:hAnsi="Times New Roman" w:eastAsiaTheme="minorHAnsi" w:cs="Times New Roman"/>
                <w:color w:val="auto"/>
                <w:sz w:val="22"/>
                <w:lang w:eastAsia="en-US"/>
              </w:rPr>
              <w:t xml:space="preserve"> Split, 19. </w:t>
            </w:r>
            <w:r>
              <w:rPr>
                <w:rFonts w:ascii="Times New Roman" w:hAnsi="Times New Roman" w:eastAsiaTheme="minorHAnsi" w:cs="Times New Roman"/>
                <w:color w:val="auto"/>
                <w:sz w:val="22"/>
                <w:lang w:eastAsia="en-US"/>
              </w:rPr>
              <w:t xml:space="preserve">listopada</w:t>
            </w:r>
            <w:r>
              <w:rPr>
                <w:rFonts w:ascii="Times New Roman" w:hAnsi="Times New Roman" w:eastAsiaTheme="minorHAnsi" w:cs="Times New Roman"/>
                <w:color w:val="auto"/>
                <w:sz w:val="22"/>
                <w:lang w:eastAsia="en-US"/>
              </w:rPr>
              <w:t xml:space="preserve"> 2026. </w:t>
            </w:r>
            <w:r>
              <w:rPr>
                <w:rFonts w:ascii="Times New Roman" w:hAnsi="Times New Roman" w:eastAsiaTheme="minorHAnsi" w:cs="Times New Roman"/>
                <w:color w:val="auto"/>
                <w:sz w:val="22"/>
                <w:lang w:eastAsia="en-US"/>
              </w:rPr>
              <w:t xml:space="preserve">godine</w:t>
            </w:r>
            <w:r>
              <w:rPr>
                <w:rFonts w:ascii="Times New Roman" w:hAnsi="Times New Roman" w:eastAsiaTheme="minorHAnsi" w:cs="Times New Roman"/>
                <w:color w:val="auto"/>
                <w:sz w:val="22"/>
                <w:lang w:eastAsia="en-US"/>
              </w:rPr>
              <w:t xml:space="preserve">. </w:t>
            </w:r>
            <w:r>
              <w:rPr>
                <w:rFonts w:ascii="Times New Roman" w:hAnsi="Times New Roman" w:eastAsiaTheme="minorHAnsi" w:cs="Times New Roman"/>
                <w:color w:val="auto"/>
                <w:sz w:val="22"/>
                <w:lang w:eastAsia="en-US"/>
              </w:rPr>
              <w:t xml:space="preserve">  </w:t>
            </w:r>
          </w:p>
          <w:p>
            <w:pPr>
              <w:spacing w:after="160" w:line="259" w:lineRule="auto"/>
              <w:ind w:left="0" w:firstLine="0"/>
              <w:rPr>
                <w:rFonts w:ascii="Times New Roman" w:hAnsi="Times New Roman" w:eastAsiaTheme="minorHAnsi" w:cs="Times New Roman"/>
                <w:color w:val="auto"/>
                <w:sz w:val="22"/>
                <w:lang w:eastAsia="en-US"/>
              </w:rPr>
            </w:pPr>
          </w:p>
        </w:tc>
        <w:tc>
          <w:tcPr>
            <w:tcW w:type="dxa" w:w="2693"/>
            <w:tcBorders/>
          </w:tcPr>
          <w:p>
            <w:pPr>
              <w:spacing w:after="160" w:line="259" w:lineRule="auto"/>
              <w:ind w:left="0" w:firstLine="0"/>
              <w:jc w:val="right"/>
              <w:rPr>
                <w:rFonts w:ascii="Times New Roman" w:hAnsi="Times New Roman" w:eastAsiaTheme="minorHAnsi" w:cs="Times New Roman"/>
                <w:color w:val="auto"/>
                <w:sz w:val="22"/>
                <w:lang w:eastAsia="en-US"/>
              </w:rPr>
            </w:pPr>
            <w:r>
              <w:rPr/>
              <w:drawing>
                <wp:inline>
                  <wp:extent cx="1009791" cy="1009791"/>
                  <wp:docPr id="1" name="Picture 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791" cy="10097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bookmarkEnd w:id="2"/>
    <w:p>
      <w:pPr>
        <w:spacing w:after="160" w:line="259" w:lineRule="auto"/>
        <w:ind w:left="0" w:firstLine="0"/>
        <w:rPr>
          <w:rFonts w:ascii="Times New Roman" w:hAnsi="Times New Roman" w:eastAsiaTheme="minorHAnsi" w:cs="Times New Roman"/>
          <w:color w:val="auto"/>
          <w:sz w:val="22"/>
          <w:lang w:eastAsia="en-US"/>
        </w:rPr>
      </w:pPr>
      <w:r>
        <w:rPr>
          <w:noProof/>
          <w:sz w:val="22"/>
          <w14:ligatures w14:val="standardContextual"/>
        </w:rPr>
        <w:drawing>
          <wp:inline>
            <wp:extent cx="476250" cy="560070"/>
            <wp:effectExtent xmlns:wp="http://schemas.openxmlformats.org/drawingml/2006/wordprocessingDrawing" l="0" t="0" r="0" b="0"/>
            <wp:docPr id="2" descr="C:\Users\ilija\Desktop\RAZNO\GRB.png" name="Slika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60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Theme="minorHAnsi" w:cs="Times New Roman"/>
          <w:b/>
          <w:color w:val="auto"/>
          <w:sz w:val="22"/>
          <w:lang w:eastAsia="en-US"/>
        </w:rPr>
        <w:t xml:space="preserve">                                                                                                                </w:t>
      </w:r>
      <w:r>
        <w:rPr>
          <w:rFonts w:ascii="Times New Roman" w:hAnsi="Times New Roman" w:eastAsiaTheme="minorHAnsi" w:cs="Times New Roman"/>
          <w:color w:val="auto"/>
          <w:sz w:val="22"/>
          <w:lang w:eastAsia="en-U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eastAsiaTheme="minorHAnsi" w:cs="Times New Roman"/>
          <w:b/>
          <w:color w:val="auto"/>
          <w:sz w:val="22"/>
          <w:lang w:eastAsia="en-US"/>
        </w:rPr>
        <w:t xml:space="preserve">REPUBLIKA HRVATSKA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eastAsiaTheme="minorHAnsi" w:cs="Times New Roman"/>
          <w:color w:val="auto"/>
          <w:sz w:val="22"/>
          <w:lang w:eastAsia="en-U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>
      <w:pPr>
        <w:spacing/>
        <w:ind w:left="0" w:firstLine="0"/>
        <w:jc w:val="both"/>
        <w:rPr>
          <w:rFonts w:ascii="Times New Roman" w:hAnsi="Times New Roman" w:cs="Times New Roman"/>
          <w:bCs/>
          <w:sz w:val="22"/>
        </w:rPr>
      </w:pPr>
      <w:r>
        <w:rPr>
          <w:rFonts w:ascii="Times New Roman" w:hAnsi="Times New Roman" w:cs="Times New Roman"/>
          <w:bCs/>
          <w:sz w:val="22"/>
        </w:rPr>
        <w:t xml:space="preserve">Na temelju članka 13. stavka 1. Pravilnika o postupku zapošljavanja te procjeni i vrednovanju kandidata za zapošljavanje Osnovne škole Dobri, Povjerenstvo za procjenu i vrednovanje kandidata za zapošljavanje upućuje kandidatima</w:t>
      </w:r>
    </w:p>
    <w:p>
      <w:pPr>
        <w:spacing/>
        <w:ind w:left="0" w:firstLine="0"/>
        <w:jc w:val="center"/>
        <w:rPr>
          <w:rFonts w:ascii="Times New Roman" w:hAnsi="Times New Roman" w:cs="Times New Roman"/>
          <w:bCs/>
          <w:sz w:val="22"/>
        </w:rPr>
      </w:pPr>
      <w:r>
        <w:rPr>
          <w:rFonts w:ascii="Times New Roman" w:hAnsi="Times New Roman" w:cs="Times New Roman"/>
          <w:b/>
          <w:sz w:val="22"/>
          <w:lang w:val="en-US"/>
        </w:rPr>
        <w:t xml:space="preserve">POZIV NA PROCJENU KANDIDATA</w:t>
      </w:r>
    </w:p>
    <w:p>
      <w:pPr>
        <w:spacing w:after="0" w:line="240" w:lineRule="auto"/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 xml:space="preserve">Procjena odnosno vrednovanje kandidata koji su podnijeli pravodobnu i potpunu prijavu te ispunjavaju uvjete natječaja za zasnivanje radnog odnosa na radn</w:t>
      </w:r>
      <w:r>
        <w:rPr>
          <w:rFonts w:ascii="Times New Roman" w:hAnsi="Times New Roman" w:cs="Times New Roman"/>
          <w:sz w:val="22"/>
        </w:rPr>
        <w:t xml:space="preserve">om</w:t>
      </w:r>
      <w:r>
        <w:rPr>
          <w:rFonts w:ascii="Times New Roman" w:hAnsi="Times New Roman" w:cs="Times New Roman"/>
          <w:sz w:val="22"/>
        </w:rPr>
        <w:t xml:space="preserve"> mjestu učiteljice razredne nastave,</w:t>
      </w:r>
      <w:r>
        <w:rPr>
          <w:rFonts w:ascii="Times New Roman" w:hAnsi="Times New Roman" w:cs="Times New Roman"/>
          <w:sz w:val="22"/>
        </w:rPr>
        <w:t xml:space="preserve"> 1 izvršitelj/ica, na o</w:t>
      </w:r>
      <w:r>
        <w:rPr>
          <w:rFonts w:ascii="Times New Roman" w:hAnsi="Times New Roman" w:cs="Times New Roman"/>
          <w:sz w:val="22"/>
        </w:rPr>
        <w:t xml:space="preserve">dređeno puno radno vrijeme 8 dnevno, odnosno </w:t>
      </w:r>
      <w:r>
        <w:rPr>
          <w:rFonts w:ascii="Times New Roman" w:hAnsi="Times New Roman" w:cs="Times New Roman"/>
          <w:sz w:val="22"/>
        </w:rPr>
        <w:t xml:space="preserve">40 sati tjedno, koji je objavljen na mrežnim stranicama i oglasnim pločama Hrvatskog zavoda za zapošljavanje i mrežnoj stranic</w:t>
      </w:r>
      <w:r>
        <w:rPr>
          <w:rFonts w:ascii="Times New Roman" w:hAnsi="Times New Roman" w:cs="Times New Roman"/>
          <w:sz w:val="22"/>
        </w:rPr>
        <w:t xml:space="preserve">i i oglasnoj ploči Škole dana 23. rujna</w:t>
      </w:r>
      <w:r>
        <w:rPr>
          <w:rFonts w:ascii="Times New Roman" w:hAnsi="Times New Roman" w:cs="Times New Roman"/>
          <w:sz w:val="22"/>
        </w:rPr>
        <w:t xml:space="preserve"> 20</w:t>
      </w:r>
      <w:r>
        <w:rPr>
          <w:rFonts w:ascii="Times New Roman" w:hAnsi="Times New Roman" w:cs="Times New Roman"/>
          <w:sz w:val="22"/>
        </w:rPr>
        <w:t xml:space="preserve">26. godine, vršit</w:t>
      </w:r>
      <w:r>
        <w:rPr>
          <w:rFonts w:ascii="Times New Roman" w:hAnsi="Times New Roman" w:cs="Times New Roman"/>
          <w:sz w:val="22"/>
        </w:rPr>
        <w:t xml:space="preserve"> će se dana 26. listopada 2026. godine od 10:45</w:t>
      </w:r>
      <w:r>
        <w:rPr>
          <w:rFonts w:ascii="Times New Roman" w:hAnsi="Times New Roman" w:cs="Times New Roman"/>
          <w:sz w:val="22"/>
        </w:rPr>
        <w:t xml:space="preserve"> sati u uredu ravnateljice (sukladno Pozivu kandidatima poslanim putem elektroničke pošte n</w:t>
      </w:r>
      <w:r>
        <w:rPr>
          <w:rFonts w:ascii="Times New Roman" w:hAnsi="Times New Roman" w:cs="Times New Roman"/>
          <w:sz w:val="22"/>
        </w:rPr>
        <w:t xml:space="preserve">a do</w:t>
      </w:r>
      <w:r>
        <w:rPr>
          <w:rFonts w:ascii="Times New Roman" w:hAnsi="Times New Roman" w:cs="Times New Roman"/>
          <w:sz w:val="22"/>
        </w:rPr>
        <w:t xml:space="preserve">stavljene </w:t>
      </w:r>
      <w:r>
        <w:rPr>
          <w:rFonts w:ascii="Times New Roman" w:hAnsi="Times New Roman" w:cs="Times New Roman"/>
          <w:sz w:val="22"/>
        </w:rPr>
        <w:t xml:space="preserve">e-adrese dana 19. listopada</w:t>
      </w:r>
      <w:r>
        <w:rPr>
          <w:rFonts w:ascii="Times New Roman" w:hAnsi="Times New Roman" w:cs="Times New Roman"/>
          <w:sz w:val="22"/>
        </w:rPr>
        <w:t xml:space="preserve"> 2026.) usmenom procjenom odnosno usmenim testiranjem iz područja poznavanja propisa koji se odnose na djelatnost osnovnog obrazovanja.   </w:t>
      </w:r>
    </w:p>
    <w:p>
      <w:pPr>
        <w:spacing w:after="0" w:line="240" w:lineRule="auto"/>
        <w:jc w:val="both"/>
        <w:rPr>
          <w:rFonts w:ascii="Times New Roman" w:hAnsi="Times New Roman" w:cs="Times New Roman"/>
          <w:i/>
          <w:sz w:val="22"/>
        </w:rPr>
      </w:pPr>
    </w:p>
    <w:tbl>
      <w:tblPr>
        <w:tblStyle w:val="TableGrid"/>
        <w:tblW w:w="0" w:type="auto"/>
        <w:tblInd w:w="562" w:type="dxa"/>
        <w:tblLook w:val="04A0" w:firstRow="1" w:lastRow="0" w:firstColumn="1" w:lastColumn="0" w:noHBand="0" w:noVBand="1"/>
      </w:tblPr>
      <w:tblGrid>
        <w:gridCol w:w="1383"/>
        <w:gridCol w:w="2313"/>
        <w:gridCol w:w="4627"/>
      </w:tblGrid>
      <w:tr>
        <w:trPr>
          <w:trHeight w:val="362" w:hRule="atLeast"/>
        </w:trPr>
        <w:tc>
          <w:tcPr>
            <w:tcW w:type="dxa" w:w="1383"/>
            <w:tcBorders/>
          </w:tcPr>
          <w:p>
            <w:pPr>
              <w:spacing/>
              <w:ind w:left="0" w:firstLine="0"/>
              <w:jc w:val="center"/>
              <w:rPr>
                <w:rFonts w:ascii="Times New Roman" w:hAnsi="Times New Roman" w:cs="Times New Roman"/>
                <w:sz w:val="22"/>
                <w:lang w:val="hr-HR"/>
              </w:rPr>
            </w:pPr>
            <w:r>
              <w:rPr>
                <w:rFonts w:ascii="Times New Roman" w:hAnsi="Times New Roman" w:cs="Times New Roman"/>
                <w:sz w:val="22"/>
                <w:lang w:val="hr-HR"/>
              </w:rPr>
              <w:t xml:space="preserve">DATUM</w:t>
            </w:r>
          </w:p>
        </w:tc>
        <w:tc>
          <w:tcPr>
            <w:tcW w:type="dxa" w:w="2313"/>
            <w:tcBorders/>
          </w:tcPr>
          <w:p>
            <w:pPr>
              <w:spacing/>
              <w:ind w:left="0" w:firstLine="0"/>
              <w:jc w:val="center"/>
              <w:rPr>
                <w:rFonts w:ascii="Times New Roman" w:hAnsi="Times New Roman" w:cs="Times New Roman"/>
                <w:sz w:val="22"/>
                <w:lang w:val="hr-HR"/>
              </w:rPr>
            </w:pPr>
            <w:r>
              <w:rPr>
                <w:rFonts w:ascii="Times New Roman" w:hAnsi="Times New Roman" w:cs="Times New Roman"/>
                <w:sz w:val="22"/>
                <w:lang w:val="hr-HR"/>
              </w:rPr>
              <w:t xml:space="preserve">SAT</w:t>
            </w:r>
          </w:p>
        </w:tc>
        <w:tc>
          <w:tcPr>
            <w:tcW w:type="dxa" w:w="4627"/>
            <w:tcBorders/>
          </w:tcPr>
          <w:p>
            <w:pPr>
              <w:spacing/>
              <w:ind w:left="0" w:firstLine="0"/>
              <w:jc w:val="center"/>
              <w:rPr>
                <w:rFonts w:ascii="Times New Roman" w:hAnsi="Times New Roman" w:cs="Times New Roman"/>
                <w:sz w:val="22"/>
                <w:lang w:val="hr-HR"/>
              </w:rPr>
            </w:pPr>
            <w:r>
              <w:rPr>
                <w:rFonts w:ascii="Times New Roman" w:hAnsi="Times New Roman" w:cs="Times New Roman"/>
                <w:sz w:val="22"/>
                <w:lang w:val="hr-HR"/>
              </w:rPr>
              <w:t xml:space="preserve">INCIJALI KANDIDATA</w:t>
            </w:r>
          </w:p>
        </w:tc>
      </w:tr>
      <w:tr>
        <w:trPr>
          <w:trHeight w:val="456" w:hRule="atLeast"/>
        </w:trPr>
        <w:tc>
          <w:tcPr>
            <w:tcW w:type="dxa" w:w="1383"/>
            <w:tcBorders/>
          </w:tcPr>
          <w:p>
            <w:pPr>
              <w:spacing/>
              <w:ind w:left="0" w:firstLine="0"/>
              <w:jc w:val="center"/>
              <w:rPr>
                <w:rFonts w:ascii="Times New Roman" w:hAnsi="Times New Roman" w:cs="Times New Roman"/>
                <w:sz w:val="22"/>
                <w:lang w:val="hr-HR"/>
              </w:rPr>
            </w:pPr>
            <w:r>
              <w:rPr>
                <w:rFonts w:ascii="Times New Roman" w:hAnsi="Times New Roman" w:cs="Times New Roman"/>
                <w:sz w:val="22"/>
                <w:lang w:val="hr-HR"/>
              </w:rPr>
              <w:t xml:space="preserve">26.10</w:t>
            </w:r>
            <w:r>
              <w:rPr>
                <w:rFonts w:ascii="Times New Roman" w:hAnsi="Times New Roman" w:cs="Times New Roman"/>
                <w:sz w:val="22"/>
                <w:lang w:val="hr-HR"/>
              </w:rPr>
              <w:t xml:space="preserve">.2026</w:t>
            </w:r>
            <w:r>
              <w:rPr>
                <w:rFonts w:ascii="Times New Roman" w:hAnsi="Times New Roman" w:cs="Times New Roman"/>
                <w:sz w:val="22"/>
                <w:lang w:val="hr-HR"/>
              </w:rPr>
              <w:t xml:space="preserve">.</w:t>
            </w:r>
          </w:p>
        </w:tc>
        <w:tc>
          <w:tcPr>
            <w:tcW w:type="dxa" w:w="2313"/>
            <w:tcBorders/>
          </w:tcPr>
          <w:p>
            <w:pPr>
              <w:spacing/>
              <w:ind w:left="0" w:firstLine="0"/>
              <w:jc w:val="center"/>
              <w:rPr>
                <w:rFonts w:ascii="Times New Roman" w:hAnsi="Times New Roman" w:cs="Times New Roman"/>
                <w:sz w:val="22"/>
                <w:lang w:val="hr-HR"/>
              </w:rPr>
            </w:pPr>
            <w:r>
              <w:rPr>
                <w:rFonts w:ascii="Times New Roman" w:hAnsi="Times New Roman" w:cs="Times New Roman"/>
                <w:sz w:val="22"/>
                <w:lang w:val="hr-HR"/>
              </w:rPr>
              <w:t xml:space="preserve">10:45 – 10:55</w:t>
            </w:r>
          </w:p>
        </w:tc>
        <w:tc>
          <w:tcPr>
            <w:tcW w:type="dxa" w:w="4627"/>
            <w:tcBorders/>
          </w:tcPr>
          <w:p>
            <w:pPr>
              <w:spacing/>
              <w:ind w:left="0"/>
              <w:jc w:val="center"/>
              <w:rPr>
                <w:rFonts w:ascii="Times New Roman" w:hAnsi="Times New Roman" w:cs="Times New Roman"/>
                <w:sz w:val="22"/>
                <w:lang w:val="hr-HR"/>
              </w:rPr>
            </w:pPr>
            <w:r>
              <w:rPr>
                <w:rFonts w:ascii="Times New Roman" w:hAnsi="Times New Roman" w:cs="Times New Roman"/>
                <w:sz w:val="22"/>
                <w:lang w:val="hr-HR"/>
              </w:rPr>
              <w:t xml:space="preserve">M.M.</w:t>
            </w:r>
          </w:p>
        </w:tc>
      </w:tr>
      <w:tr>
        <w:trPr>
          <w:trHeight w:val="394" w:hRule="atLeast"/>
        </w:trPr>
        <w:tc>
          <w:tcPr>
            <w:tcW w:type="dxa" w:w="1383"/>
            <w:tcBorders/>
          </w:tcPr>
          <w:p>
            <w:pPr>
              <w:spacing/>
              <w:ind w:left="0" w:firstLine="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  <w:lang w:val="hr-HR"/>
              </w:rPr>
              <w:t xml:space="preserve">26.10</w:t>
            </w:r>
            <w:r>
              <w:rPr>
                <w:rFonts w:ascii="Times New Roman" w:hAnsi="Times New Roman" w:cs="Times New Roman"/>
                <w:sz w:val="22"/>
                <w:lang w:val="hr-HR"/>
              </w:rPr>
              <w:t xml:space="preserve">.2026</w:t>
            </w:r>
          </w:p>
        </w:tc>
        <w:tc>
          <w:tcPr>
            <w:tcW w:type="dxa" w:w="2313"/>
            <w:tcBorders/>
          </w:tcPr>
          <w:p>
            <w:pPr>
              <w:spacing/>
              <w:ind w:left="0" w:firstLine="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10:55 – 11:05</w:t>
            </w:r>
          </w:p>
        </w:tc>
        <w:tc>
          <w:tcPr>
            <w:tcW w:type="dxa" w:w="4627"/>
            <w:tcBorders/>
          </w:tcPr>
          <w:p>
            <w:pPr>
              <w:spacing/>
              <w:ind w:left="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N.B.</w:t>
            </w:r>
          </w:p>
        </w:tc>
      </w:tr>
    </w:tbl>
    <w:p>
      <w:pPr>
        <w:shd w:val="clear" w:color="auto" w:fill="FFFFFF"/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 xml:space="preserve">Pravni izvori za pripremanje kandidata za vrednovanje:</w:t>
      </w:r>
    </w:p>
    <w:p>
      <w:pPr>
        <w:spacing w:after="0" w:line="240" w:lineRule="auto"/>
        <w:rPr>
          <w:rFonts w:ascii="Times New Roman" w:hAnsi="Times New Roman"/>
          <w:bCs/>
          <w:sz w:val="22"/>
        </w:rPr>
      </w:pPr>
    </w:p>
    <w:p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hAnsi="Times New Roman"/>
          <w:bCs/>
          <w:sz w:val="22"/>
        </w:rPr>
      </w:pPr>
      <w:r>
        <w:rPr>
          <w:rFonts w:ascii="Times New Roman" w:hAnsi="Times New Roman"/>
          <w:bCs/>
          <w:sz w:val="22"/>
        </w:rPr>
        <w:t xml:space="preserve">Zakon o odgoju i obrazovanju u osnovnoj i srednjoj školi </w:t>
      </w:r>
      <w:r>
        <w:rPr>
          <w:rFonts w:ascii="Times New Roman" w:hAnsi="Times New Roman" w:eastAsia="Comic Sans MS"/>
          <w:sz w:val="22"/>
        </w:rPr>
        <w:t xml:space="preserve">(„Narodne novine“, br. 87/08, 86/09, 92/10, 105/10, 90/11, 5/12, 16/12, 86/12, 126/12, 94/13, 152/14, 07/17, 68/18, 98/19, 64/20, 151/22, 155/23, 156/23.)</w:t>
      </w:r>
      <w:r>
        <w:rPr>
          <w:rFonts w:ascii="Times New Roman" w:hAnsi="Times New Roman"/>
          <w:sz w:val="22"/>
        </w:rPr>
        <w:t xml:space="preserve">, </w:t>
      </w:r>
    </w:p>
    <w:p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hAnsi="Times New Roman"/>
          <w:bCs/>
          <w:sz w:val="22"/>
        </w:rPr>
      </w:pPr>
      <w:r>
        <w:rPr>
          <w:rFonts w:ascii="Times New Roman" w:hAnsi="Times New Roman"/>
          <w:bCs/>
          <w:sz w:val="22"/>
        </w:rPr>
        <w:t xml:space="preserve">Pravilnik o načinima, postupcima i elementima vrednovanja učenika u osnovnoj i srednjoj školi ( “ Narodne novine” br.112/10., 82/19., 43/20 i 100/21.)</w:t>
      </w:r>
    </w:p>
    <w:p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hAnsi="Times New Roman"/>
          <w:bCs/>
          <w:sz w:val="22"/>
        </w:rPr>
      </w:pPr>
      <w:r>
        <w:rPr>
          <w:rFonts w:ascii="Times New Roman" w:hAnsi="Times New Roman"/>
          <w:bCs/>
          <w:sz w:val="22"/>
        </w:rPr>
        <w:t xml:space="preserve">Pravilnik o kriterijima za izricanje pedagoških mjera (“ Narodne novine” br. 94/15, 3/17, 22/26.)</w:t>
      </w:r>
    </w:p>
    <w:p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hAnsi="Times New Roman"/>
          <w:bCs/>
          <w:sz w:val="22"/>
        </w:rPr>
      </w:pPr>
      <w:r>
        <w:rPr>
          <w:rFonts w:ascii="Times New Roman" w:hAnsi="Times New Roman"/>
          <w:bCs/>
          <w:sz w:val="22"/>
        </w:rPr>
        <w:t xml:space="preserve">Pravilnik o izmjeni Pravilnika o kriterijima za izricanje pedagoških mjera ( “Narodne novine” br. 22/26.)</w:t>
      </w:r>
    </w:p>
    <w:p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hAnsi="Times New Roman"/>
          <w:bCs/>
          <w:sz w:val="22"/>
        </w:rPr>
      </w:pPr>
      <w:r>
        <w:rPr>
          <w:rFonts w:ascii="Times New Roman" w:hAnsi="Times New Roman"/>
          <w:bCs/>
          <w:sz w:val="22"/>
        </w:rPr>
        <w:t xml:space="preserve">Pravilnik o izvođenju izleta, ekskurzija i drugih odgojno-obrazovnih aktivnosti izvan škole ( “ Narodne novine” br. 67/14, 81/15, 53/21.)</w:t>
      </w:r>
    </w:p>
    <w:p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hAnsi="Times New Roman"/>
          <w:bCs/>
          <w:sz w:val="22"/>
        </w:rPr>
      </w:pPr>
      <w:r>
        <w:rPr>
          <w:rFonts w:ascii="Times New Roman" w:hAnsi="Times New Roman"/>
          <w:bCs/>
          <w:sz w:val="22"/>
        </w:rPr>
        <w:t xml:space="preserve">Pravilnik o izmjenama i dopunama Pravilnika o izvođenju izleta, ekskurzija i drugih odgojno-obrazovnih aktivnosti izvan škole ( “ Narodne novine” br. 53/21.)</w:t>
      </w:r>
    </w:p>
    <w:p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hAnsi="Times New Roman"/>
          <w:bCs/>
          <w:sz w:val="22"/>
        </w:rPr>
      </w:pPr>
      <w:r>
        <w:rPr>
          <w:rFonts w:ascii="Times New Roman" w:hAnsi="Times New Roman"/>
          <w:bCs/>
          <w:sz w:val="22"/>
        </w:rPr>
        <w:t xml:space="preserve">Pravilnik o tjednim radnim obvezama učitelja i stručnih suradnika u osnovnoj školi ( “ Narodne novine” br. 34/14., 40/14., 103/14.)</w:t>
      </w:r>
    </w:p>
    <w:p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hAnsi="Times New Roman"/>
          <w:bCs/>
          <w:sz w:val="22"/>
        </w:rPr>
      </w:pPr>
      <w:r>
        <w:rPr>
          <w:rFonts w:ascii="Times New Roman" w:hAnsi="Times New Roman"/>
          <w:bCs/>
          <w:sz w:val="22"/>
        </w:rPr>
        <w:t xml:space="preserve">Pravilnik o izmjenama i dopunama Pravilnika o tjednim radnim obvezama učitelja i stručnih suradnika u osnovnoj školi ( “ Narodne novine” br. 102/19.)</w:t>
      </w:r>
    </w:p>
    <w:p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hAnsi="Times New Roman"/>
          <w:bCs/>
          <w:sz w:val="22"/>
        </w:rPr>
      </w:pPr>
      <w:r>
        <w:rPr>
          <w:rFonts w:ascii="Times New Roman" w:hAnsi="Times New Roman"/>
          <w:bCs/>
          <w:sz w:val="22"/>
        </w:rPr>
        <w:t xml:space="preserve">Pravilnik o osnovnoškolskom i srednješkolskom odgoju i obrazovanju učenika s teškoćama u razvoju ( “ Narodne novine “ br. 24/15.)</w:t>
      </w:r>
    </w:p>
    <w:p>
      <w:pPr>
        <w:spacing/>
        <w:ind w:left="0" w:firstLine="0"/>
        <w:jc w:val="both"/>
        <w:rPr>
          <w:rFonts w:ascii="Times New Roman" w:hAnsi="Times New Roman" w:cs="Times New Roman"/>
          <w:sz w:val="22"/>
        </w:rPr>
      </w:pPr>
    </w:p>
    <w:p>
      <w:pPr>
        <w:spacing w:line="276" w:lineRule="auto"/>
        <w:ind w:left="0" w:firstLine="0"/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 xml:space="preserve">Razgovorom se procjenjuje: motiviranost, vještine komuniciranja, samopouzdanje, ozbiljnost i dodatna znanj</w:t>
      </w:r>
      <w:r>
        <w:rPr>
          <w:rFonts w:ascii="Times New Roman" w:hAnsi="Times New Roman" w:cs="Times New Roman"/>
          <w:sz w:val="22"/>
        </w:rPr>
        <w:t xml:space="preserve">a </w:t>
      </w:r>
      <w:r>
        <w:rPr>
          <w:rFonts w:ascii="Times New Roman" w:hAnsi="Times New Roman" w:cs="Times New Roman"/>
          <w:sz w:val="22"/>
        </w:rPr>
        <w:t xml:space="preserve">kandidata.  </w:t>
      </w:r>
    </w:p>
    <w:p>
      <w:pPr>
        <w:spacing w:line="276" w:lineRule="auto"/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 xml:space="preserve">Vrednovanje kandidata vršit će se usmenom procjenom, odnosno usmenim testiranjem iz područja poznavanja navedenih propisa. Očekivano trajanje usmenog testiranja kandidata je 10 minuta.</w:t>
      </w:r>
    </w:p>
    <w:p>
      <w:pPr>
        <w:spacing w:line="276" w:lineRule="auto"/>
        <w:ind w:firstLine="0"/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 xml:space="preserve">Kandidati su dužni sa sobom imati osobnu iskaznicu ili drugu identifikacijsku ispravu. Ako kandidat ne pristupi procjeni odnosno testiranju smatra se da je odustao od prijave na natječaj.</w:t>
      </w:r>
    </w:p>
    <w:p>
      <w:pPr>
        <w:spacing w:line="276" w:lineRule="auto"/>
        <w:ind w:firstLine="0"/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 xml:space="preserve">Poziv na procjenu odnosno testiranje objavljen je</w:t>
      </w:r>
      <w:r>
        <w:rPr>
          <w:rFonts w:ascii="Times New Roman" w:hAnsi="Times New Roman" w:cs="Times New Roman"/>
          <w:sz w:val="22"/>
        </w:rPr>
        <w:t xml:space="preserve"> na m</w:t>
      </w:r>
      <w:r>
        <w:rPr>
          <w:rFonts w:ascii="Times New Roman" w:hAnsi="Times New Roman" w:cs="Times New Roman"/>
          <w:sz w:val="22"/>
        </w:rPr>
        <w:t xml:space="preserve">režnoj stranici Škole dana 19</w:t>
      </w:r>
      <w:bookmarkStart w:id="3" w:name="_GoBack"/>
      <w:bookmarkEnd w:id="3"/>
      <w:r>
        <w:rPr>
          <w:rFonts w:ascii="Times New Roman" w:hAnsi="Times New Roman" w:cs="Times New Roman"/>
          <w:sz w:val="22"/>
        </w:rPr>
        <w:t xml:space="preserve">.</w:t>
      </w:r>
      <w:r>
        <w:rPr>
          <w:rFonts w:ascii="Times New Roman" w:hAnsi="Times New Roman" w:cs="Times New Roman"/>
          <w:sz w:val="22"/>
        </w:rPr>
        <w:t xml:space="preserve"> listopada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/>
          <w:sz w:val="22"/>
        </w:rPr>
        <w:t xml:space="preserve">2026. godine i dostavljen svim kandidatima koji su podnijeli pravodobnu i potpunu prijavu te ispunjavaju uvjete natječaja, najkasnije 5 dana prije određenog za procjenu odnosno testiranje. </w:t>
      </w:r>
      <w:r>
        <w:rPr>
          <w:rFonts w:ascii="Times New Roman" w:hAnsi="Times New Roman" w:cs="Times New Roman"/>
          <w:sz w:val="22"/>
        </w:rPr>
        <w:tab/>
        <w:t xml:space="preserve"/>
      </w:r>
      <w:r>
        <w:rPr>
          <w:rFonts w:ascii="Times New Roman" w:hAnsi="Times New Roman" w:cs="Times New Roman"/>
          <w:b/>
          <w:sz w:val="22"/>
        </w:rPr>
        <w:t xml:space="preserve">         </w:t>
      </w:r>
    </w:p>
    <w:p>
      <w:pPr>
        <w:spacing/>
        <w:ind w:left="4966" w:firstLine="698"/>
        <w:jc w:val="right"/>
        <w:rPr>
          <w:rFonts w:ascii="Times New Roman" w:hAnsi="Times New Roman" w:cs="Times New Roman"/>
          <w:b/>
          <w:bCs/>
          <w:sz w:val="22"/>
        </w:rPr>
      </w:pPr>
      <w:r>
        <w:rPr>
          <w:rFonts w:ascii="Times New Roman" w:hAnsi="Times New Roman" w:cs="Times New Roman"/>
          <w:b/>
          <w:bCs/>
          <w:sz w:val="22"/>
        </w:rPr>
        <w:t xml:space="preserve">Povjerenstvo za procjenu i     vrednovanje kandidata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sectPr>
      <w:type w:val="nextPage"/>
      <w:pgSz w:w="11906" w:h="16838"/>
      <w:pgMar w:top="1417" w:right="1417" w:bottom="1417" w:left="1417" w:header="708" w:footer="708" w:gutter="0"/>
      <w:pgBorders/>
      <w:pgNumType w:fmt="decimal"/>
      <w:cols w:num="1" w:equalWidth="1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charset w:val="2"/>
    <w:family w:val="roman"/>
    <w:pitch w:val="variable"/>
    <w:sig w:usb0="00000000" w:usb1="10000000" w:usb2="00000000" w:usb3="00000000" w:csb0="80000000" w:csb1="00000000"/>
  </w:font>
  <w:font w:name="Times New Roman">
    <w:charset w:val="238"/>
    <w:family w:val="roman"/>
    <w:pitch w:val="variable"/>
    <w:sig w:usb0="E0002EFF" w:usb1="C000785B" w:usb2="00000009" w:usb3="00000000" w:csb0="000001FF" w:csb1="00000000"/>
  </w:font>
  <w:font w:name="Courier New">
    <w:charset w:val="238"/>
    <w:family w:val="modern"/>
    <w:pitch w:val="fixed"/>
    <w:sig w:usb0="E0002EFF" w:usb1="C0007843" w:usb2="00000009" w:usb3="00000000" w:csb0="000001FF" w:csb1="00000000"/>
  </w:font>
  <w:font w:name="Wingdings">
    <w:charset w:val="2"/>
    <w:family w:val="auto"/>
    <w:pitch w:val="variable"/>
    <w:sig w:usb0="00000000" w:usb1="10000000" w:usb2="00000000" w:usb3="00000000" w:csb0="80000000" w:csb1="00000000"/>
  </w:font>
  <w:font w:name="Aptos">
    <w:altName w:val="Arial"/>
    <w:charset w:val="0"/>
    <w:family w:val="swiss"/>
    <w:pitch w:val="variable"/>
    <w:sig w:usb0="00000001" w:usb1="00000003" w:usb2="00000000" w:usb3="00000000" w:csb0="0000019F" w:csb1="00000000"/>
  </w:font>
  <w:font w:name="Calibri">
    <w:charset w:val="238"/>
    <w:family w:val="swiss"/>
    <w:pitch w:val="variable"/>
    <w:sig w:usb0="E4002EFF" w:usb1="C000247B" w:usb2="00000009" w:usb3="00000000" w:csb0="000001FF" w:csb1="00000000"/>
  </w:font>
  <w:font w:name="Aptos Display">
    <w:altName w:val="Arial"/>
    <w:charset w:val="0"/>
    <w:family w:val="swiss"/>
    <w:pitch w:val="variable"/>
    <w:sig w:usb0="00000001" w:usb1="00000003" w:usb2="00000000" w:usb3="00000000" w:csb0="0000019F" w:csb1="00000000"/>
  </w:font>
  <w:font w:name="Segoe UI">
    <w:charset w:val="238"/>
    <w:family w:val="swiss"/>
    <w:pitch w:val="variable"/>
    <w:sig w:usb0="E4002EFF" w:usb1="C000E47F" w:usb2="00000009" w:usb3="00000000" w:csb0="000001FF" w:csb1="00000000"/>
  </w:font>
  <w:font w:name="Comic Sans MS">
    <w:charset w:val="238"/>
    <w:family w:val="script"/>
    <w:pitch w:val="variable"/>
    <w:sig w:usb0="000002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3F67B15"/>
    <w:lvl w:ilvl="0">
      <w:start w:val="1"/>
      <w:numFmt w:val="bullet"/>
      <w:suff w:val="tab"/>
      <w:lvlText w:val=""/>
      <w:pPr>
        <w:spacing/>
        <w:ind w:left="1428" w:hanging="360"/>
      </w:pPr>
      <w:rPr>
        <w:rFonts w:ascii="Symbol" w:hAnsi="Symbol" w:hint="default"/>
      </w:rPr>
    </w:lvl>
    <w:lvl w:ilvl="1">
      <w:start w:val="1"/>
      <w:numFmt w:val="bullet"/>
      <w:suff w:val="tab"/>
      <w:lvlText w:val="o"/>
      <w:pPr>
        <w:spacing/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868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3588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5028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748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7188" w:hanging="360"/>
      </w:pPr>
      <w:rPr>
        <w:rFonts w:ascii="Wingdings" w:hAnsi="Wingdings" w:hint="default"/>
      </w:rPr>
    </w:lvl>
  </w:abstractNum>
  <w:abstractNum w:abstractNumId="1">
    <w:nsid w:val="44A411D5"/>
    <w:lvl w:ilvl="0">
      <w:start w:val="1"/>
      <w:numFmt w:val="upperLetter"/>
      <w:suff w:val="tab"/>
      <w:lvlText w:val="%1."/>
      <w:pPr>
        <w:spacing/>
        <w:ind w:left="720" w:hanging="360"/>
      </w:pPr>
      <w:rPr>
        <w:rFonts w:hint="default"/>
      </w:rPr>
    </w:lvl>
    <w:lvl w:ilvl="1">
      <w:start w:val="1"/>
      <w:numFmt w:val="lowerLetter"/>
      <w:suff w:val="tab"/>
      <w:lvlText w:val="%2."/>
      <w:pPr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80" w:hanging="180"/>
      </w:pPr>
      <w:rPr/>
    </w:lvl>
  </w:abstractNum>
  <w:abstractNum w:abstractNumId="2">
    <w:nsid w:val="59334D86"/>
    <w:lvl w:ilvl="0">
      <w:start w:val="0"/>
      <w:numFmt w:val="bullet"/>
      <w:suff w:val="tab"/>
      <w:lvlText w:val="-"/>
      <w:pPr>
        <w:spacing/>
        <w:ind w:left="720" w:hanging="360"/>
      </w:pPr>
      <w:rPr>
        <w:rFonts w:ascii="Times New Roman" w:hAnsi="Times New Roman" w:eastAsiaTheme="minorHAnsi" w:cs="Times New Roman" w:hint="default"/>
      </w:rPr>
    </w:lvl>
    <w:lvl w:ilvl="1">
      <w:start w:val="1"/>
      <w:numFmt w:val="bullet"/>
      <w:suff w:val="tab"/>
      <w:lvlText w:val="o"/>
      <w:pPr>
        <w:spacing/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480" w:hanging="360"/>
      </w:pPr>
      <w:rPr>
        <w:rFonts w:ascii="Wingdings" w:hAnsi="Wingdings" w:hint="default"/>
      </w:rPr>
    </w:lvl>
  </w:abstractNum>
  <w:abstractNum w:abstractNumId="3">
    <w:nsid w:val="777355C8"/>
    <w:lvl w:ilvl="0">
      <w:start w:val="0"/>
      <w:numFmt w:val="bullet"/>
      <w:suff w:val="tab"/>
      <w:lvlText w:val="-"/>
      <w:pPr>
        <w:tabs>
          <w:tab w:val="left" w:pos="-76"/>
        </w:tabs>
        <w:spacing/>
        <w:ind w:left="644" w:hanging="360"/>
      </w:pPr>
      <w:rPr>
        <w:rFonts w:ascii="Times New Roman" w:hAnsi="Times New Roman" w:cs="Times New Roman" w:hint="default"/>
        <w:color w:val="auto"/>
      </w:rPr>
    </w:lvl>
    <w:lvl w:ilvl="1">
      <w:start w:val="1"/>
      <w:numFmt w:val="bullet"/>
      <w:suff w:val="tab"/>
      <w:lvlText w:val="o"/>
      <w:pPr>
        <w:tabs>
          <w:tab w:val="left" w:pos="0"/>
        </w:tabs>
        <w:spacing/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tabs>
          <w:tab w:val="left" w:pos="0"/>
        </w:tabs>
        <w:spacing/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pPr>
        <w:tabs>
          <w:tab w:val="left" w:pos="0"/>
        </w:tabs>
        <w:spacing/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pPr>
        <w:tabs>
          <w:tab w:val="left" w:pos="0"/>
        </w:tabs>
        <w:spacing/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tabs>
          <w:tab w:val="left" w:pos="0"/>
        </w:tabs>
        <w:spacing/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pPr>
        <w:tabs>
          <w:tab w:val="left" w:pos="0"/>
        </w:tabs>
        <w:spacing/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pPr>
        <w:tabs>
          <w:tab w:val="left" w:pos="0"/>
        </w:tabs>
        <w:spacing/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tabs>
          <w:tab w:val="left" w:pos="0"/>
        </w:tabs>
        <w:spacing/>
        <w:ind w:left="6480" w:hanging="360"/>
      </w:pPr>
      <w:rPr>
        <w:rFonts w:ascii="Wingdings" w:hAnsi="Wingdings" w:cs="Wingdings" w:hint="default"/>
      </w:rPr>
    </w:lvl>
  </w:abstractNum>
  <w:abstractNum w:abstractNumId="4">
    <w:nsid w:val="7D7E200F"/>
    <w:lvl w:ilvl="0">
      <w:start w:val="1"/>
      <w:numFmt w:val="bullet"/>
      <w:suff w:val="tab"/>
      <w:lvlText w:val=""/>
      <w:pPr>
        <w:spacing/>
        <w:ind w:left="720" w:hanging="360"/>
      </w:pPr>
      <w:rPr>
        <w:rFonts w:ascii="Symbol" w:hAnsi="Symbol" w:hint="default"/>
      </w:rPr>
    </w:lvl>
    <w:lvl w:ilvl="1">
      <w:start w:val="1"/>
      <w:numFmt w:val="bullet"/>
      <w:suff w:val="tab"/>
      <w:lvlText w:val="o"/>
      <w:pPr>
        <w:spacing/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14="http://schemas.microsoft.com/office/word/2010/wordml" xmlns:w15="http://schemas.microsoft.com/office/word/2012/wordml" xmlns:sl="http://schemas.openxmlformats.org/schemaLibrary/2006/main" xmlns:w="http://schemas.openxmlformats.org/wordprocessingml/2006/main" mc:Ignorable="w14 w15">
  <w:zoom w:val="none" w:percent="100"/>
  <w:proofState w:spelling="clean" w:grammar="clean"/>
  <w:defaultTabStop w:val="708"/>
  <w:hyphenationZone w:val="425"/>
  <w:characterSpacingControl xmlns:w="http://schemas.openxmlformats.org/wordprocessingml/2006/main"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hr-HR"/>
  <w:decimalSymbol xmlns:w="http://schemas.openxmlformats.org/wordprocessingml/2006/main" w:val=","/>
  <w:listSeparator xmlns:w="http://schemas.openxmlformats.org/wordprocessingml/2006/main"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xmlns:w="http://schemas.openxmlformats.org/wordprocessingml/2006/main"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spacing w:after="211" w:line="266" w:lineRule="auto"/>
      <w:ind w:left="10" w:hanging="10"/>
    </w:pPr>
    <w:rPr>
      <w:rFonts w:ascii="Calibri" w:hAnsi="Calibri" w:eastAsia="Calibri" w:cs="Calibri"/>
      <w:color w:val="000000"/>
      <w:kern w:val="0"/>
      <w:sz w:val="24"/>
      <w:lang w:eastAsia="hr-HR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 w:line="259" w:lineRule="auto"/>
      <w:ind w:left="0" w:firstLine="0"/>
      <w:outlineLvl w:val="0"/>
    </w:pPr>
    <w:rPr>
      <w:rFonts w:asciiTheme="majorHAnsi" w:hAnsiTheme="majorHAnsi" w:eastAsiaTheme="majorEastAsia" w:cstheme="majorBidi"/>
      <w:color w:val="0F4761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60" w:after="80" w:line="259" w:lineRule="auto"/>
      <w:ind w:left="0" w:firstLine="0"/>
      <w:outlineLvl w:val="1"/>
    </w:pPr>
    <w:rPr>
      <w:rFonts w:asciiTheme="majorHAnsi" w:hAnsiTheme="majorHAnsi" w:eastAsiaTheme="majorEastAsia" w:cstheme="majorBidi"/>
      <w:color w:val="0F4761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 w:line="259" w:lineRule="auto"/>
      <w:ind w:left="0" w:firstLine="0"/>
      <w:outlineLvl w:val="2"/>
    </w:pPr>
    <w:rPr>
      <w:rFonts w:asciiTheme="minorHAnsi" w:hAnsiTheme="minorHAnsi" w:eastAsiaTheme="majorEastAsia" w:cstheme="majorBidi"/>
      <w:color w:val="0F4761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 w:line="259" w:lineRule="auto"/>
      <w:ind w:left="0" w:firstLine="0"/>
      <w:outlineLvl w:val="3"/>
    </w:pPr>
    <w:rPr>
      <w:rFonts w:asciiTheme="minorHAnsi" w:hAnsiTheme="minorHAnsi" w:eastAsiaTheme="majorEastAsia" w:cstheme="majorBidi"/>
      <w:i/>
      <w:iCs/>
      <w:color w:val="0F4761"/>
      <w:kern w:val="2"/>
      <w:sz w:val="2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 w:line="259" w:lineRule="auto"/>
      <w:ind w:left="0" w:firstLine="0"/>
      <w:outlineLvl w:val="4"/>
    </w:pPr>
    <w:rPr>
      <w:rFonts w:asciiTheme="minorHAnsi" w:hAnsiTheme="minorHAnsi" w:eastAsiaTheme="majorEastAsia" w:cstheme="majorBidi"/>
      <w:color w:val="0F4761"/>
      <w:kern w:val="2"/>
      <w:sz w:val="2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 w:line="259" w:lineRule="auto"/>
      <w:ind w:left="0" w:firstLine="0"/>
      <w:outlineLvl w:val="5"/>
    </w:pPr>
    <w:rPr>
      <w:rFonts w:asciiTheme="minorHAnsi" w:hAnsiTheme="minorHAnsi" w:eastAsiaTheme="majorEastAsia" w:cstheme="majorBidi"/>
      <w:i/>
      <w:iCs/>
      <w:color w:val="595959"/>
      <w:kern w:val="2"/>
      <w:sz w:val="2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40" w:after="0" w:line="259" w:lineRule="auto"/>
      <w:ind w:left="0" w:firstLine="0"/>
      <w:outlineLvl w:val="6"/>
    </w:pPr>
    <w:rPr>
      <w:rFonts w:asciiTheme="minorHAnsi" w:hAnsiTheme="minorHAnsi" w:eastAsiaTheme="majorEastAsia" w:cstheme="majorBidi"/>
      <w:color w:val="595959"/>
      <w:kern w:val="2"/>
      <w:sz w:val="2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after="0" w:line="259" w:lineRule="auto"/>
      <w:ind w:left="0" w:firstLine="0"/>
      <w:outlineLvl w:val="7"/>
    </w:pPr>
    <w:rPr>
      <w:rFonts w:asciiTheme="minorHAnsi" w:hAnsiTheme="minorHAnsi" w:eastAsiaTheme="majorEastAsia" w:cstheme="majorBidi"/>
      <w:i/>
      <w:iCs/>
      <w:color w:val="272727"/>
      <w:kern w:val="2"/>
      <w:sz w:val="2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after="0" w:line="259" w:lineRule="auto"/>
      <w:ind w:left="0" w:firstLine="0"/>
      <w:outlineLvl w:val="8"/>
    </w:pPr>
    <w:rPr>
      <w:rFonts w:asciiTheme="minorHAnsi" w:hAnsiTheme="minorHAnsi" w:eastAsiaTheme="majorEastAsia" w:cstheme="majorBidi"/>
      <w:color w:val="272727"/>
      <w:kern w:val="2"/>
      <w:sz w:val="22"/>
      <w:lang w:eastAsia="en-US"/>
      <w14:ligatures w14:val="standardContextual"/>
    </w:rPr>
  </w:style>
  <w:style w:type="character" w:styleId="DefaultParagraphFont" w:default="1">
    <w:name w:val="Default Paragraph Font"/>
    <w:uiPriority w:val="1"/>
    <w:semiHidden/>
    <w:unhideWhenUsed/>
    <w:rPr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Pr>
      <w:rFonts w:asciiTheme="majorHAnsi" w:hAnsiTheme="majorHAnsi" w:eastAsiaTheme="majorEastAsia" w:cstheme="majorBidi"/>
      <w:color w:val="0F4761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Pr>
      <w:rFonts w:eastAsiaTheme="majorEastAsia" w:cstheme="majorBidi"/>
      <w:color w:val="0F4761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Pr>
      <w:rFonts w:eastAsiaTheme="majorEastAsia" w:cstheme="majorBidi"/>
      <w:i/>
      <w:iCs/>
      <w:color w:val="0F4761"/>
    </w:rPr>
  </w:style>
  <w:style w:type="character" w:styleId="Heading5Char" w:customStyle="1">
    <w:name w:val="Heading 5 Char"/>
    <w:basedOn w:val="DefaultParagraphFont"/>
    <w:link w:val="Heading5"/>
    <w:uiPriority w:val="9"/>
    <w:semiHidden/>
    <w:rPr>
      <w:rFonts w:eastAsiaTheme="majorEastAsia" w:cstheme="majorBidi"/>
      <w:color w:val="0F4761"/>
    </w:rPr>
  </w:style>
  <w:style w:type="character" w:styleId="Heading6Char" w:customStyle="1">
    <w:name w:val="Heading 6 Char"/>
    <w:basedOn w:val="DefaultParagraphFont"/>
    <w:link w:val="Heading6"/>
    <w:uiPriority w:val="9"/>
    <w:semiHidden/>
    <w:rPr>
      <w:rFonts w:eastAsiaTheme="majorEastAsia" w:cstheme="majorBidi"/>
      <w:i/>
      <w:iCs/>
      <w:color w:val="595959"/>
    </w:rPr>
  </w:style>
  <w:style w:type="character" w:styleId="Heading7Char" w:customStyle="1">
    <w:name w:val="Heading 7 Char"/>
    <w:basedOn w:val="DefaultParagraphFont"/>
    <w:link w:val="Heading7"/>
    <w:uiPriority w:val="9"/>
    <w:semiHidden/>
    <w:rPr>
      <w:rFonts w:eastAsiaTheme="majorEastAsia" w:cstheme="majorBidi"/>
      <w:color w:val="595959"/>
    </w:rPr>
  </w:style>
  <w:style w:type="character" w:styleId="Heading8Char" w:customStyle="1">
    <w:name w:val="Heading 8 Char"/>
    <w:basedOn w:val="DefaultParagraphFont"/>
    <w:link w:val="Heading8"/>
    <w:uiPriority w:val="9"/>
    <w:semiHidden/>
    <w:rPr>
      <w:rFonts w:eastAsiaTheme="majorEastAsia" w:cstheme="majorBidi"/>
      <w:i/>
      <w:iCs/>
      <w:color w:val="272727"/>
    </w:rPr>
  </w:style>
  <w:style w:type="character" w:styleId="Heading9Char" w:customStyle="1">
    <w:name w:val="Heading 9 Char"/>
    <w:basedOn w:val="DefaultParagraphFont"/>
    <w:link w:val="Heading9"/>
    <w:uiPriority w:val="9"/>
    <w:semiHidden/>
    <w:rPr>
      <w:rFonts w:eastAsiaTheme="majorEastAsia" w:cstheme="majorBidi"/>
      <w:color w:val="272727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ind w:left="0" w:firstLine="0"/>
      <w:contextualSpacing/>
    </w:pPr>
    <w:rPr>
      <w:rFonts w:asciiTheme="majorHAnsi" w:hAnsiTheme="majorHAnsi" w:eastAsiaTheme="majorEastAsia" w:cstheme="majorBidi"/>
      <w:color w:val="auto"/>
      <w:spacing w:val="-10"/>
      <w:kern w:val="28"/>
      <w:sz w:val="56"/>
      <w:szCs w:val="56"/>
      <w:lang w:eastAsia="en-US"/>
      <w14:ligatures w14:val="standardContextual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numPr>
      <w:ilvl w:val="1"/>
    </w:numPr>
    <w:pPr>
      <w:numPr>
        <w:ilvl w:val="1"/>
      </w:numPr>
      <w:spacing w:after="160" w:line="259" w:lineRule="auto"/>
      <w:ind w:left="10" w:hanging="10"/>
    </w:pPr>
    <w:rPr>
      <w:rFonts w:asciiTheme="minorHAnsi" w:hAnsiTheme="minorHAnsi" w:eastAsiaTheme="majorEastAsia" w:cstheme="majorBidi"/>
      <w:color w:val="595959"/>
      <w:spacing w:val="15"/>
      <w:kern w:val="2"/>
      <w:sz w:val="28"/>
      <w:szCs w:val="28"/>
      <w:lang w:eastAsia="en-US"/>
      <w14:ligatures w14:val="standardContextual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/>
      <w:spacing w:val="15"/>
      <w:sz w:val="28"/>
      <w:szCs w:val="28"/>
    </w:rPr>
  </w:style>
  <w:style w:type="paragraph" w:styleId="ListParagraph">
    <w:name w:val="List Paragraph"/>
    <w:basedOn w:val="Normal"/>
    <w:uiPriority w:val="34"/>
    <w:qFormat/>
    <w:pPr>
      <w:spacing w:after="160" w:line="259" w:lineRule="auto"/>
      <w:ind w:left="720" w:firstLine="0"/>
      <w:contextualSpacing/>
    </w:pPr>
    <w:rPr>
      <w:rFonts w:asciiTheme="minorHAnsi" w:hAnsiTheme="minorHAnsi" w:eastAsiaTheme="minorHAnsi" w:cstheme="minorBidi"/>
      <w:color w:val="auto"/>
      <w:kern w:val="2"/>
      <w:sz w:val="22"/>
      <w:lang w:eastAsia="en-US"/>
      <w14:ligatures w14:val="standardContextual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 w:after="160" w:line="259" w:lineRule="auto"/>
      <w:ind w:left="0" w:firstLine="0"/>
      <w:jc w:val="center"/>
    </w:pPr>
    <w:rPr>
      <w:rFonts w:asciiTheme="minorHAnsi" w:hAnsiTheme="minorHAnsi" w:eastAsiaTheme="minorHAnsi" w:cstheme="minorBidi"/>
      <w:i/>
      <w:iCs/>
      <w:color w:val="404040"/>
      <w:kern w:val="2"/>
      <w:sz w:val="22"/>
      <w:lang w:eastAsia="en-US"/>
      <w14:ligatures w14:val="standardContextual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/>
    </w:rPr>
  </w:style>
  <w:style w:type="paragraph" w:styleId="IntenseQuote1" w:customStyle="1">
    <w:name w:val="Intense Quote1"/>
    <w:basedOn w:val="Normal"/>
    <w:next w:val="Normal"/>
    <w:link w:val="IntenseQuoteChar"/>
    <w:uiPriority w:val="30"/>
    <w:qFormat/>
    <w:pPr>
      <w:pBdr>
        <w:top w:val="single" w:color="0F4761" w:sz="4" w:space="10"/>
        <w:bottom w:val="single" w:color="0F4761" w:sz="4" w:space="10"/>
      </w:pBdr>
      <w:spacing w:before="360" w:after="360" w:line="259" w:lineRule="auto"/>
      <w:ind w:left="864" w:right="864" w:firstLine="0"/>
      <w:jc w:val="center"/>
    </w:pPr>
    <w:rPr>
      <w:rFonts w:asciiTheme="minorHAnsi" w:hAnsiTheme="minorHAnsi" w:eastAsiaTheme="minorHAnsi" w:cstheme="minorBidi"/>
      <w:i/>
      <w:iCs/>
      <w:color w:val="0F4761"/>
      <w:kern w:val="2"/>
      <w:sz w:val="22"/>
      <w:lang w:eastAsia="en-US"/>
      <w14:ligatures w14:val="standardContextual"/>
    </w:rPr>
  </w:style>
  <w:style w:type="character" w:styleId="IntenseQuoteChar" w:customStyle="1">
    <w:name w:val="Intense Quote Char"/>
    <w:basedOn w:val="DefaultParagraphFont"/>
    <w:link w:val="IntenseQuote1"/>
    <w:uiPriority w:val="30"/>
    <w:rPr>
      <w:i/>
      <w:iCs/>
      <w:color w:val="0F4761"/>
    </w:rPr>
  </w:style>
  <w:style w:type="character" w:styleId="IntenseEmphasis1" w:customStyle="1">
    <w:name w:val="Intense Emphasis1"/>
    <w:basedOn w:val="DefaultParagraphFont"/>
    <w:uiPriority w:val="21"/>
    <w:qFormat/>
    <w:rPr>
      <w:i/>
      <w:iCs/>
      <w:color w:val="0F4761"/>
    </w:rPr>
  </w:style>
  <w:style w:type="character" w:styleId="IntenseReference1" w:customStyle="1">
    <w:name w:val="Intense Reference1"/>
    <w:basedOn w:val="DefaultParagraphFont"/>
    <w:uiPriority w:val="32"/>
    <w:qFormat/>
    <w:rPr>
      <w:b/>
      <w:bCs/>
      <w:smallCaps/>
      <w:color w:val="0F4761"/>
      <w:spacing w:val="5"/>
    </w:rPr>
  </w:style>
  <w:style w:type="table" w:styleId="TableGrid">
    <w:name w:val="Table Grid"/>
    <w:basedOn w:val="TableNormal"/>
    <w:uiPriority w:val="39"/>
    <w:qFormat/>
    <w:pPr>
      <w:spacing w:after="0" w:line="240" w:lineRule="auto"/>
    </w:pPr>
    <w:rPr>
      <w:kern w:val="0"/>
      <w:lang w:val="en-US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Pr>
      <w:rFonts w:ascii="Segoe UI" w:hAnsi="Segoe UI" w:eastAsia="Calibri" w:cs="Segoe UI"/>
      <w:color w:val="000000"/>
      <w:kern w:val="0"/>
      <w:sz w:val="18"/>
      <w:szCs w:val="18"/>
      <w:lang w:eastAsia="hr-HR"/>
      <w14:ligatures w14:val="none"/>
    </w:rPr>
  </w:style>
  <w:style w:type="paragraph" w:styleId="Bezproreda1" w:customStyle="1">
    <w:name w:val="Bez proreda1"/>
    <w:uiPriority w:val="1"/>
    <w:qFormat/>
    <w:pPr>
      <w:spacing w:after="0" w:line="240" w:lineRule="auto"/>
    </w:pPr>
    <w:rPr>
      <w:rFonts w:ascii="Times New Roman" w:hAnsi="Times New Roman" w:eastAsia="Times New Roman" w:cs="Times New Roman"/>
      <w:kern w:val="0"/>
      <w:sz w:val="24"/>
      <w:szCs w:val="24"/>
      <w:lang w:val="en-US"/>
      <w14:ligatures w14:val="none"/>
    </w:rPr>
  </w:style>
</w:styles>
</file>

<file path=word/_rels/document.xml.rels>&#65279;<?xml version="1.0" encoding="utf-8" standalone="yes"?><Relationships xmlns="http://schemas.openxmlformats.org/package/2006/relationships"><Relationship Id="rId3" Type="http://schemas.openxmlformats.org/officeDocument/2006/relationships/styles" Target="styles.xml" /><Relationship Id="rId4" Type="http://schemas.openxmlformats.org/officeDocument/2006/relationships/settings" Target="settings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ntTable" Target="fontTable.xml" /><Relationship Id="rId1" Type="http://schemas.openxmlformats.org/officeDocument/2006/relationships/image" Target="media/image2.png" /><Relationship Id="rId2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 panose="02110004020202020204"/>
        <a:cs typeface="" panose="02110004020202020204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 panose="02110004020202020204"/>
        <a:cs typeface="" panose="02110004020202020204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Sjajno">
      <a:fillStyleLst>
        <a:solidFill>
          <a:schemeClr val="phClr"/>
        </a:solidFill>
        <a:gradFill rotWithShape="1">
          <a:gsLst>
            <a:gs pos="0">
              <a:schemeClr val="phClr">
                <a:tint val="62000"/>
                <a:satMod val="180000"/>
              </a:schemeClr>
            </a:gs>
            <a:gs pos="65000">
              <a:schemeClr val="phClr">
                <a:tint val="32000"/>
                <a:satMod val="250000"/>
              </a:schemeClr>
            </a:gs>
            <a:gs pos="100000">
              <a:schemeClr val="phClr">
                <a:tint val="23000"/>
                <a:satMod val="300000"/>
              </a:schemeClr>
            </a:gs>
          </a:gsLst>
          <a:lin ang="16200000" scaled="0"/>
          <a:tileRect/>
        </a:gradFill>
        <a:gradFill rotWithShape="1">
          <a:gsLst>
            <a:gs pos="0">
              <a:schemeClr val="phClr">
                <a:shade val="15000"/>
                <a:satMod val="180000"/>
              </a:schemeClr>
            </a:gs>
            <a:gs pos="50000">
              <a:schemeClr val="phClr">
                <a:shade val="45000"/>
                <a:satMod val="170000"/>
              </a:schemeClr>
            </a:gs>
            <a:gs pos="70000">
              <a:schemeClr val="phClr">
                <a:tint val="99000"/>
                <a:shade val="65000"/>
                <a:satMod val="155000"/>
              </a:schemeClr>
            </a:gs>
            <a:gs pos="100000">
              <a:schemeClr val="phClr">
                <a:tint val="95500"/>
                <a:shade val="100000"/>
                <a:satMod val="155000"/>
              </a:schemeClr>
            </a:gs>
          </a:gsLst>
          <a:lin ang="16200000" scaled="0"/>
          <a:tileRect/>
        </a:gradFill>
      </a:fillStyleLst>
      <a:lnStyleLst>
        <a:ln w="12700" cap="flat" cmpd="sng">
          <a:solidFill>
            <a:schemeClr val="phClr">
              <a:tint val="95000"/>
              <a:shade val="95000"/>
              <a:satMod val="120000"/>
            </a:schemeClr>
          </a:solidFill>
          <a:prstDash val="solid"/>
        </a:ln>
        <a:ln w="55000" cap="flat" cmpd="thickThin">
          <a:solidFill>
            <a:schemeClr val="phClr">
              <a:tint val="90000"/>
              <a:satMod val="130000"/>
            </a:schemeClr>
          </a:solidFill>
          <a:prstDash val="solid"/>
        </a:ln>
        <a:ln w="50800" cap="flat" cmpd="sng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63500" dist="38100" dir="5400000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glow" dir="t">
              <a:rot lat="0" lon="0" rev="6360000"/>
            </a:lightRig>
          </a:scene3d>
          <a:sp3d contourW="1000" prstMaterial="flat">
            <a:bevelT h="101600" w="95250"/>
            <a:contourClr>
              <a:srgbClr val="000000"/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 xmlns:a="http://schemas.openxmlformats.org/drawingml/2006/main"/>
  <a:extraClrSchemeLst xmlns:a="http://schemas.openxmlformats.org/drawingml/2006/main"/>
  <a:extLst xmlns:a="http://schemas.openxmlformats.org/drawingml/2006/main"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</TotalTime>
  <Pages>2</Pages>
  <Words>965</Words>
  <Characters>5506</Characters>
  <Application>Microsoft Office Word</Application>
  <DocSecurity>0</DocSecurity>
  <Lines>45</Lines>
  <Paragraphs>12</Paragraphs>
  <Company/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Mirjana Dodig</dc:creator>
  <cp:keywords/>
  <dc:description/>
  <cp:lastModifiedBy>Windows User</cp:lastModifiedBy>
  <cp:lastPrinted>2026-03-30T08:39:00Z</cp:lastPrinted>
  <cp:revision>3</cp:revision>
  <dcterms:created xsi:type="dcterms:W3CDTF">2026-10-19T11:36:00Z</dcterms:created>
  <dcterms:modified xsi:type="dcterms:W3CDTF">2026-10-19T13:20:00Z</dcterms:modified>
</cp:coreProperties>
</file>